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Times New Roman" w:hAnsi="Times New Roman"/>
          <w:b/>
          <w:b/>
          <w:bCs/>
          <w:sz w:val="22"/>
          <w:szCs w:val="22"/>
        </w:rPr>
      </w:pPr>
      <w:r>
        <w:rPr>
          <w:rFonts w:ascii="Times New Roman" w:hAnsi="Times New Roman"/>
          <w:b/>
          <w:bCs/>
          <w:sz w:val="22"/>
          <w:szCs w:val="22"/>
        </w:rPr>
        <w:t xml:space="preserve">Lutter contre le racisme en analysant un texte qui  parle d’autre chose : </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Times New Roman" w:hAnsi="Times New Roman"/>
          <w:b/>
          <w:b/>
          <w:bCs/>
          <w:sz w:val="22"/>
          <w:szCs w:val="22"/>
        </w:rPr>
      </w:pPr>
      <w:r>
        <w:rPr>
          <w:rFonts w:ascii="Times New Roman" w:hAnsi="Times New Roman"/>
          <w:b/>
          <w:bCs/>
          <w:sz w:val="22"/>
          <w:szCs w:val="22"/>
        </w:rPr>
        <w:t>Commentaire d’un texte d’Alain sur la croyance</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Times New Roman" w:hAnsi="Times New Roman"/>
          <w:b/>
          <w:b/>
          <w:bCs/>
          <w:sz w:val="22"/>
          <w:szCs w:val="22"/>
        </w:rPr>
      </w:pPr>
      <w:r>
        <w:rPr>
          <w:rFonts w:ascii="Times New Roman" w:hAnsi="Times New Roman"/>
          <w:b/>
          <w:bCs/>
          <w:sz w:val="22"/>
          <w:szCs w:val="22"/>
        </w:rPr>
      </w:r>
    </w:p>
    <w:p>
      <w:pPr>
        <w:pStyle w:val="NormalWeb"/>
        <w:spacing w:lineRule="auto" w:line="276" w:before="280" w:after="280"/>
        <w:jc w:val="both"/>
        <w:rPr>
          <w:rFonts w:ascii="Times New Roman" w:hAnsi="Times New Roman"/>
          <w:sz w:val="22"/>
          <w:szCs w:val="22"/>
        </w:rPr>
      </w:pPr>
      <w:r>
        <w:rPr>
          <w:rFonts w:cs="Calibri" w:cstheme="minorHAnsi"/>
          <w:b w:val="false"/>
          <w:bCs w:val="false"/>
          <w:sz w:val="22"/>
          <w:szCs w:val="22"/>
        </w:rPr>
        <w:t xml:space="preserve">Il s’agit d’étudier un texte qui, à première vue, n’a rien à voir avec la question de l’extrême droite.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8"/>
          <w:szCs w:val="18"/>
        </w:rPr>
      </w:pPr>
      <w:r>
        <w:rPr>
          <w:rFonts w:ascii="Times New Roman" w:hAnsi="Times New Roman"/>
          <w:sz w:val="18"/>
          <w:szCs w:val="18"/>
        </w:rPr>
        <w:t>« On croit, dit le Moraliste, trop aisément ce que l'on désire. Tout amour vit d'illusions. Le feu du cœur colore toutes choses ; l'aimée a toutes les vertus ; elle comprend tout. Grâce, Poésie, Bonté, Sagesse, furent les fées de son berceau</w:t>
      </w:r>
      <w:r>
        <w:rPr>
          <w:rFonts w:ascii="Times New Roman" w:hAnsi="Times New Roman"/>
          <w:sz w:val="18"/>
          <w:szCs w:val="18"/>
          <w:vertAlign w:val="superscript"/>
        </w:rPr>
        <w:t>1</w:t>
      </w:r>
      <w:r>
        <w:rPr>
          <w:rFonts w:ascii="Times New Roman" w:hAnsi="Times New Roman"/>
          <w:sz w:val="18"/>
          <w:szCs w:val="18"/>
        </w:rPr>
        <w:t>. Pareillement l'ami du peuple croit aisément que le peuple est juste et bon. Et c'est par le même mécanisme que le cœur religieux croit que Dieu existe, par la peine qu'il sentirait s'il croyait que Dieu n'existe pas. Ainsi pour tout. On n'agirait point, on ne vivrait point sans cela. La vérité jette une lumière crue, trop vive pour la plante humaine. Respectons les erreurs d'autrui.</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8"/>
          <w:szCs w:val="18"/>
        </w:rPr>
      </w:pPr>
      <w:r>
        <w:rPr>
          <w:rFonts w:ascii="Times New Roman" w:hAnsi="Times New Roman"/>
          <w:sz w:val="18"/>
          <w:szCs w:val="18"/>
        </w:rPr>
        <w:t xml:space="preserve">- Mais, dit le Sage, on parle bien vite d'erreur, il me semble. Il y a, je le sais, des cas innombrables où notre amour ne change rien. </w:t>
      </w:r>
      <w:r>
        <w:rPr>
          <w:rFonts w:ascii="Times New Roman" w:hAnsi="Times New Roman"/>
          <w:iCs/>
          <w:sz w:val="18"/>
          <w:szCs w:val="18"/>
        </w:rPr>
        <w:t>Je puis vouloir une éclipse, ou simplement un beau soleil qui sèche le grain, au lieu de cette tempête grondeuse et pleureuse ; je puis, à force de vouloir, espérer et croire enfin que les choses iront comme je veux ; mais elles vont leur train. D'où je vois bien que ma prière est d'un nigaud</w:t>
      </w:r>
      <w:r>
        <w:rPr>
          <w:rFonts w:ascii="Times New Roman" w:hAnsi="Times New Roman"/>
          <w:iCs/>
          <w:sz w:val="18"/>
          <w:szCs w:val="18"/>
          <w:vertAlign w:val="superscript"/>
        </w:rPr>
        <w:t>2</w:t>
      </w:r>
      <w:r>
        <w:rPr>
          <w:rFonts w:ascii="Times New Roman" w:hAnsi="Times New Roman"/>
          <w:iCs/>
          <w:sz w:val="18"/>
          <w:szCs w:val="18"/>
        </w:rPr>
        <w:t>. Mais quand il s'agit de mes frères les hommes, ou de mes sœurs les femmes, tout change. Ce que je crois finit souvent par être vrai. Si je me crois haï, je serai haï ; pour l'amour, de même. Si je crois que l'enfant que j'instruis est incapable d'apprendre, cette croyance écrite dans mes regards et dans mes discours le rendra stupide ; au contraire ma confiance et mon attente est comme un soleil qui mûrira les fleurs et les fruits du petit bonhomme. Je prête, dites-vous, à la femme que j'aime des vertus</w:t>
      </w:r>
      <w:r>
        <w:rPr>
          <w:rFonts w:ascii="Times New Roman" w:hAnsi="Times New Roman"/>
          <w:iCs/>
          <w:sz w:val="18"/>
          <w:szCs w:val="18"/>
          <w:vertAlign w:val="superscript"/>
        </w:rPr>
        <w:t>3</w:t>
      </w:r>
      <w:r>
        <w:rPr>
          <w:rFonts w:ascii="Times New Roman" w:hAnsi="Times New Roman"/>
          <w:iCs/>
          <w:sz w:val="18"/>
          <w:szCs w:val="18"/>
        </w:rPr>
        <w:t xml:space="preserve"> qu'elle n'a point ; mais si elle sait que je crois en elle, elle les aura. Plus ou moins ; mais il faut essayer ; il faut croire. Le peuple, méprisé, est bientôt méprisable ; estimez-le, il s'élèvera. La défiance</w:t>
      </w:r>
      <w:r>
        <w:rPr>
          <w:rFonts w:ascii="Times New Roman" w:hAnsi="Times New Roman"/>
          <w:iCs/>
          <w:sz w:val="18"/>
          <w:szCs w:val="18"/>
          <w:vertAlign w:val="superscript"/>
        </w:rPr>
        <w:t>4</w:t>
      </w:r>
      <w:r>
        <w:rPr>
          <w:rFonts w:ascii="Times New Roman" w:hAnsi="Times New Roman"/>
          <w:iCs/>
          <w:sz w:val="18"/>
          <w:szCs w:val="18"/>
        </w:rPr>
        <w:t xml:space="preserve"> a fait plus d'un voleur ; une demi-confiance est comme une injure ; mais si je savais la donner toute, qui donc me tromperait ? Il faut donner d'abord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rFonts w:ascii="Times New Roman" w:hAnsi="Times New Roman"/>
          <w:sz w:val="18"/>
          <w:szCs w:val="18"/>
        </w:rPr>
      </w:pPr>
      <w:r>
        <w:rPr>
          <w:rFonts w:ascii="Times New Roman" w:hAnsi="Times New Roman"/>
          <w:sz w:val="18"/>
          <w:szCs w:val="18"/>
        </w:rPr>
      </w:r>
    </w:p>
    <w:p>
      <w:pPr>
        <w:pStyle w:val="Normal"/>
        <w:pBdr>
          <w:top w:val="single" w:sz="2" w:space="1" w:color="000000"/>
          <w:left w:val="single" w:sz="2" w:space="1" w:color="000000"/>
          <w:bottom w:val="single" w:sz="2" w:space="1" w:color="000000"/>
          <w:right w:val="single" w:sz="2" w:space="1" w:color="000000"/>
        </w:pBdr>
        <w:spacing w:lineRule="auto" w:line="240" w:before="0" w:after="0"/>
        <w:jc w:val="right"/>
        <w:rPr>
          <w:sz w:val="18"/>
          <w:szCs w:val="18"/>
        </w:rPr>
      </w:pPr>
      <w:r>
        <w:rPr>
          <w:rFonts w:ascii="Times New Roman" w:hAnsi="Times New Roman"/>
          <w:sz w:val="18"/>
          <w:szCs w:val="18"/>
        </w:rPr>
        <w:t xml:space="preserve">ALAIN, </w:t>
      </w:r>
      <w:r>
        <w:rPr>
          <w:rFonts w:ascii="Times New Roman" w:hAnsi="Times New Roman"/>
          <w:i/>
          <w:iCs/>
          <w:sz w:val="18"/>
          <w:szCs w:val="18"/>
        </w:rPr>
        <w:t xml:space="preserve">Propos du 11 août 1912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rFonts w:ascii="Times New Roman" w:hAnsi="Times New Roman"/>
          <w:sz w:val="18"/>
          <w:szCs w:val="18"/>
        </w:rPr>
      </w:pPr>
      <w:r>
        <w:rPr>
          <w:rFonts w:ascii="Times New Roman" w:hAnsi="Times New Roman"/>
          <w:sz w:val="18"/>
          <w:szCs w:val="18"/>
        </w:rPr>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1 « </w:t>
      </w:r>
      <w:r>
        <w:rPr>
          <w:rFonts w:ascii="Times New Roman" w:hAnsi="Times New Roman"/>
          <w:i/>
          <w:sz w:val="16"/>
          <w:szCs w:val="16"/>
        </w:rPr>
        <w:t>Grâce, Poésie, Bonté, Sagesse, furent les fées de son berceau »</w:t>
      </w:r>
      <w:r>
        <w:rPr>
          <w:rFonts w:ascii="Times New Roman" w:hAnsi="Times New Roman"/>
          <w:sz w:val="16"/>
          <w:szCs w:val="16"/>
        </w:rPr>
        <w:t> : dans les contes de fées, on imagine souvent que, à la naissance des enfants, de bonnes fées se penchent sur le berceau et offrent à l’enfant certains dons.</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2 « </w:t>
      </w:r>
      <w:r>
        <w:rPr>
          <w:rFonts w:ascii="Times New Roman" w:hAnsi="Times New Roman"/>
          <w:i/>
          <w:sz w:val="16"/>
          <w:szCs w:val="16"/>
        </w:rPr>
        <w:t>ma prière est d’un nigaud »</w:t>
      </w:r>
      <w:r>
        <w:rPr>
          <w:rFonts w:ascii="Times New Roman" w:hAnsi="Times New Roman"/>
          <w:sz w:val="16"/>
          <w:szCs w:val="16"/>
        </w:rPr>
        <w:t>:  faire une telle prière c’est être naïf.</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3 « </w:t>
      </w:r>
      <w:r>
        <w:rPr>
          <w:rFonts w:ascii="Times New Roman" w:hAnsi="Times New Roman"/>
          <w:i/>
          <w:iCs/>
          <w:sz w:val="16"/>
          <w:szCs w:val="16"/>
        </w:rPr>
        <w:t>des vertus</w:t>
      </w:r>
      <w:r>
        <w:rPr>
          <w:rFonts w:ascii="Times New Roman" w:hAnsi="Times New Roman"/>
          <w:sz w:val="16"/>
          <w:szCs w:val="16"/>
        </w:rPr>
        <w:t> » : des qualités</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4 « </w:t>
      </w:r>
      <w:r>
        <w:rPr>
          <w:rFonts w:ascii="Times New Roman" w:hAnsi="Times New Roman"/>
          <w:i/>
          <w:sz w:val="16"/>
          <w:szCs w:val="16"/>
        </w:rPr>
        <w:t>la défiance »</w:t>
      </w:r>
      <w:r>
        <w:rPr>
          <w:rFonts w:ascii="Times New Roman" w:hAnsi="Times New Roman"/>
          <w:sz w:val="16"/>
          <w:szCs w:val="16"/>
        </w:rPr>
        <w:t> : le manque de confiance</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rFonts w:ascii="Times New Roman" w:hAnsi="Times New Roman"/>
          <w:sz w:val="16"/>
          <w:szCs w:val="16"/>
        </w:rPr>
      </w:pPr>
      <w:r>
        <w:rPr>
          <w:rFonts w:ascii="Times New Roman" w:hAnsi="Times New Roman"/>
          <w:sz w:val="16"/>
          <w:szCs w:val="16"/>
        </w:rPr>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b/>
          <w:bCs/>
          <w:sz w:val="16"/>
          <w:szCs w:val="16"/>
        </w:rPr>
        <w:t xml:space="preserve">QUESTIONS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A) Questions d'analyse</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A1. Expliquez : « on croit […] trop aisément ce que l'on désire.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 xml:space="preserve">A2 Expliquez : « quand il s'agit de mes frères les hommes ou de mes sœurs les femmes, tout change. Ce que je crois finit souvent par être vrai. » Montrez que cela s’applique à la question de l’éducation.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A3. Pourquoi le peuple, s’il est « méprisé », deviendra « bientôt méprisable »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 xml:space="preserve">A4. Quand le Sage affirme qu' « il faut croire » ou qu' « il faut donner d'abord », s'agit-il d'une obligation ou d'une contrainte ?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B) Questions de synthèse</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 xml:space="preserve">B1) A quelle question ce texte tente-il d'apporter une réponse ?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B2) Dégagez les différents moments de l'argumentation présente dans ce texte.</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 xml:space="preserve">B3) Dégagez l'idée principale du texte.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C) Commentaire</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ascii="Times New Roman" w:hAnsi="Times New Roman"/>
          <w:sz w:val="16"/>
          <w:szCs w:val="16"/>
        </w:rPr>
        <w:t>C1) Selon Alain, faut-il toujours se méfier des idées qui correspondent à ce que l'on désire ?</w:t>
      </w:r>
    </w:p>
    <w:p>
      <w:pPr>
        <w:pStyle w:val="Normal"/>
        <w:pBdr>
          <w:top w:val="single" w:sz="2" w:space="1" w:color="000000"/>
          <w:left w:val="single" w:sz="2" w:space="1" w:color="000000"/>
          <w:bottom w:val="single" w:sz="2" w:space="1" w:color="000000"/>
          <w:right w:val="single" w:sz="2" w:space="1" w:color="000000"/>
        </w:pBdr>
        <w:spacing w:lineRule="auto" w:line="240" w:before="0" w:after="0"/>
        <w:jc w:val="both"/>
        <w:rPr>
          <w:sz w:val="16"/>
          <w:szCs w:val="16"/>
        </w:rPr>
      </w:pPr>
      <w:r>
        <w:rPr>
          <w:rFonts w:cs="Calibri" w:ascii="Times New Roman" w:hAnsi="Times New Roman" w:cstheme="minorHAnsi"/>
          <w:b w:val="false"/>
          <w:bCs w:val="false"/>
          <w:sz w:val="16"/>
          <w:szCs w:val="16"/>
        </w:rPr>
        <w:t xml:space="preserve">C2) En vous appuyant sur le texte et en le prolongeant ou le nuançant éventuellement par des remarques personnelles, répondez à la question suivante : croire est-ce être naïf ? </w:t>
      </w:r>
    </w:p>
    <w:p>
      <w:pPr>
        <w:pStyle w:val="NormalWeb"/>
        <w:spacing w:lineRule="auto" w:line="276" w:before="280" w:after="280"/>
        <w:jc w:val="both"/>
        <w:rPr>
          <w:rFonts w:ascii="Times New Roman" w:hAnsi="Times New Roman"/>
          <w:sz w:val="22"/>
          <w:szCs w:val="22"/>
        </w:rPr>
      </w:pPr>
      <w:r>
        <w:rPr>
          <w:rFonts w:cs="Calibri" w:cstheme="minorHAnsi"/>
          <w:b w:val="false"/>
          <w:bCs w:val="false"/>
          <w:sz w:val="22"/>
          <w:szCs w:val="22"/>
        </w:rPr>
        <w:t xml:space="preserve">Le texte donne trois exemples pour le discours du moraliste (l’amour, la politique, la religion) auxquels répondent trois exemples dans le discours du sage (l’amour, l’éducation et la politique). Concentrons-nous sur l’exemple politique. A la fin du XIXe siècle et au début du XXe, certains accusent les « classes laborieuses » d’être des « classes dangereuses » (pour reprendre le titre de l’ouvrage de Louis Chevalier sur le début du XIXe) : les habitants des nouvelles banlieues ouvrières sont des déracinés qui ont perdu tout repère en quittant leur campagne et qui se laissent gagner par le vice, l’alcoolisme, la violence, etc. Mais « l’ami du peuple », c’est-à-dire le politicien de gauche à l’époque, est naïf et il refuse de voir cette violence. Pour faire comprendre l’argument on peut le transposer un peu : dans la France d’aujourd’hui </w:t>
      </w:r>
      <w:r>
        <w:rPr>
          <w:rFonts w:cs="Calibri" w:cstheme="minorHAnsi"/>
          <w:b w:val="false"/>
          <w:bCs w:val="false"/>
          <w:sz w:val="22"/>
          <w:szCs w:val="22"/>
        </w:rPr>
        <w:t xml:space="preserve">le moraliste ne parlerait peut-être pas </w:t>
      </w:r>
      <w:r>
        <w:rPr>
          <w:rFonts w:cs="Calibri" w:cstheme="minorHAnsi"/>
          <w:b w:val="false"/>
          <w:bCs w:val="false"/>
          <w:sz w:val="22"/>
          <w:szCs w:val="22"/>
        </w:rPr>
        <w:t xml:space="preserve">de « l’ami du peuple » </w:t>
      </w:r>
      <w:r>
        <w:rPr>
          <w:rFonts w:cs="Calibri" w:cstheme="minorHAnsi"/>
          <w:b w:val="false"/>
          <w:bCs w:val="false"/>
          <w:sz w:val="22"/>
          <w:szCs w:val="22"/>
        </w:rPr>
        <w:t>mais de</w:t>
      </w:r>
      <w:r>
        <w:rPr>
          <w:rFonts w:cs="Calibri" w:cstheme="minorHAnsi"/>
          <w:b w:val="false"/>
          <w:bCs w:val="false"/>
          <w:sz w:val="22"/>
          <w:szCs w:val="22"/>
        </w:rPr>
        <w:t xml:space="preserve"> l’ami des immigrés, </w:t>
      </w:r>
      <w:r>
        <w:rPr>
          <w:rFonts w:cs="Calibri" w:cstheme="minorHAnsi"/>
          <w:b w:val="false"/>
          <w:bCs w:val="false"/>
          <w:sz w:val="22"/>
          <w:szCs w:val="22"/>
        </w:rPr>
        <w:t xml:space="preserve">à qui l’on reproche d’avoir </w:t>
      </w:r>
      <w:r>
        <w:rPr>
          <w:rFonts w:cs="Calibri" w:cstheme="minorHAnsi"/>
          <w:b w:val="false"/>
          <w:bCs w:val="false"/>
          <w:sz w:val="22"/>
          <w:szCs w:val="22"/>
        </w:rPr>
        <w:t xml:space="preserve">une vision angélique des quartiers populaires et </w:t>
      </w:r>
      <w:r>
        <w:rPr>
          <w:rFonts w:cs="Calibri" w:cstheme="minorHAnsi"/>
          <w:b w:val="false"/>
          <w:bCs w:val="false"/>
          <w:sz w:val="22"/>
          <w:szCs w:val="22"/>
        </w:rPr>
        <w:t xml:space="preserve">de </w:t>
      </w:r>
      <w:r>
        <w:rPr>
          <w:rFonts w:cs="Calibri" w:cstheme="minorHAnsi"/>
          <w:b w:val="false"/>
          <w:bCs w:val="false"/>
          <w:sz w:val="22"/>
          <w:szCs w:val="22"/>
        </w:rPr>
        <w:t xml:space="preserve">ne pas </w:t>
      </w:r>
      <w:r>
        <w:rPr>
          <w:rFonts w:cs="Calibri" w:cstheme="minorHAnsi"/>
          <w:b w:val="false"/>
          <w:bCs w:val="false"/>
          <w:sz w:val="22"/>
          <w:szCs w:val="22"/>
        </w:rPr>
        <w:t xml:space="preserve">vouloir </w:t>
      </w:r>
      <w:r>
        <w:rPr>
          <w:rFonts w:cs="Calibri" w:cstheme="minorHAnsi"/>
          <w:b w:val="false"/>
          <w:bCs w:val="false"/>
          <w:sz w:val="22"/>
          <w:szCs w:val="22"/>
        </w:rPr>
        <w:t xml:space="preserve">voir la violence de leur population. Ce premier moment du texte ravit probablement les élèves hostiles aux immigrés, qui ont peut-être déjà fait l’expérience de moments de tension, d’hostilité voire de conflit avec des immigrés ou descendants d’immigrés : eux savent d’expérience que l’angélisme de la gauche est naïf. </w:t>
      </w:r>
    </w:p>
    <w:p>
      <w:pPr>
        <w:pStyle w:val="NormalWeb"/>
        <w:spacing w:lineRule="auto" w:line="276" w:before="280" w:after="280"/>
        <w:jc w:val="both"/>
        <w:rPr>
          <w:rFonts w:ascii="Times New Roman" w:hAnsi="Times New Roman"/>
          <w:sz w:val="22"/>
          <w:szCs w:val="22"/>
        </w:rPr>
      </w:pPr>
      <w:r>
        <w:rPr>
          <w:rFonts w:cs="Calibri" w:cstheme="minorHAnsi"/>
          <w:b w:val="false"/>
          <w:bCs w:val="false"/>
          <w:sz w:val="22"/>
          <w:szCs w:val="22"/>
        </w:rPr>
        <w:t xml:space="preserve">Ou </w:t>
      </w:r>
      <w:r>
        <w:rPr>
          <w:rFonts w:cs="Calibri" w:cstheme="minorHAnsi"/>
          <w:b w:val="false"/>
          <w:bCs w:val="false"/>
          <w:sz w:val="22"/>
          <w:szCs w:val="22"/>
        </w:rPr>
        <w:t xml:space="preserve">plutôt ils croient le savoir, car </w:t>
      </w:r>
      <w:r>
        <w:rPr>
          <w:rFonts w:cs="Calibri" w:cstheme="minorHAnsi"/>
          <w:b w:val="false"/>
          <w:bCs w:val="false"/>
          <w:sz w:val="22"/>
          <w:szCs w:val="22"/>
        </w:rPr>
        <w:t>le second paragraphe propose une vision toute autre. A travers l’exemple de l’éducation d’abord on voit bien que les croyances, les préjugés qu’on projette sur les gens modifient leurs comportements. Les élèves adhérent à nouveau sans problème à cette thèse (par ailleurs confirmée par des études de sociologie de l’éducation sur l’effet Pygmalion). Il ne reste plus qu’à l’appliquer à l’exemple politique, en montrant que si je suis raciste et que je fais l’expérience de la violence ou de l’agressivité des immigrés, c’est peut-être parce ce que mon racisme (ou simplement ma méfiance) inscrit dans mes regards nourrit cette violence ou cette agressivité. Et si certains habitants des banlieues, discriminés à l’emploi, au logement, à l’entrée des boites de nuit, et pointés du doigts par certains discours politiques, brefs « méprisés » sont devenus « méprisables », c’est peut-être en partie dû à la haine et à la méfiance qu’ils subissent. Autrement dit, le racisme aggrave les problèmes qu’il prétend dénoncer et les expériences vécues sur lesquelles certains croient pouvoir fonder leurs  jugements racistes sont peut-être des « mensonges de l’expérience » (comme le dit un autre propos d’Alain, du 11 mai 1921), c’est-à-dire des expériences bien réelles, mais faussées par nos préjugés initiaux.</w:t>
      </w:r>
    </w:p>
    <w:p>
      <w:pPr>
        <w:pStyle w:val="NormalWeb"/>
        <w:spacing w:lineRule="auto" w:line="276" w:before="280" w:after="280"/>
        <w:jc w:val="both"/>
        <w:rPr>
          <w:rFonts w:ascii="Times New Roman" w:hAnsi="Times New Roman"/>
          <w:sz w:val="22"/>
          <w:szCs w:val="22"/>
        </w:rPr>
      </w:pPr>
      <w:r>
        <w:rPr>
          <w:rFonts w:cs="Calibri" w:cstheme="minorHAnsi"/>
          <w:b w:val="false"/>
          <w:bCs w:val="false"/>
          <w:sz w:val="22"/>
          <w:szCs w:val="22"/>
        </w:rPr>
        <w:t>Malgré ces arguments, on peut penser qu’à ce stade de la réflexion les élèves racistes continueront de penser que ce discours est totalement irénique : comme s’il suffisait de faire confiance aux étrangers et de les accueillir avec bienveillance pour qu’ils ne soient plus jamais violents ! C’est peut-être encore plus naïf que la naïveté dénoncée plus haut ! Toutefois, si l’on regarde le texte de plus près, on constatera qu’il n’affirme pas – naïvement - que la confiance donnée ne sera jamais trahie. L’exemple sur l’amour le dit : l’aimée aura « plus ou moins » les vertus que je lui prête, « mais il faut essayer ». C’est notre devoir moral de croire aux progrès possibles de l’élève, ou de croire que la personne qu’on aime sera digne de notre amour, mais cela ne veut pas dire que l’on soit sûr que cela fonctionnera. La confiance est un risque, accepté lucidement, un « beau risque à courir » comme disait Platon : un risque que notre conscience morale nous demande de prendre parce que refuser ce risque et choisir la méfiance, qui est « comme une injure »,  c’est rendre les gens pires que ce qu’ils auraient pu être et c’est donc une injustice.</w:t>
      </w:r>
    </w:p>
    <w:p>
      <w:pPr>
        <w:pStyle w:val="NormalWeb"/>
        <w:spacing w:lineRule="auto" w:line="276" w:before="280" w:after="280"/>
        <w:jc w:val="both"/>
        <w:rPr>
          <w:rFonts w:ascii="Times New Roman" w:hAnsi="Times New Roman"/>
          <w:sz w:val="22"/>
          <w:szCs w:val="22"/>
        </w:rPr>
      </w:pPr>
      <w:r>
        <w:rPr>
          <w:rFonts w:cs="Calibri" w:cstheme="minorHAnsi"/>
          <w:b w:val="false"/>
          <w:bCs w:val="false"/>
          <w:sz w:val="22"/>
          <w:szCs w:val="22"/>
        </w:rPr>
        <w:t>Pour illustrer cette idée, je raconte en classe un passage de</w:t>
      </w:r>
      <w:r>
        <w:rPr>
          <w:rFonts w:cs="Calibri" w:cstheme="minorHAnsi"/>
          <w:b w:val="false"/>
          <w:bCs w:val="false"/>
          <w:i/>
          <w:iCs/>
          <w:sz w:val="22"/>
          <w:szCs w:val="22"/>
        </w:rPr>
        <w:t xml:space="preserve"> Los Olvidados</w:t>
      </w:r>
      <w:r>
        <w:rPr>
          <w:rFonts w:cs="Calibri" w:cstheme="minorHAnsi"/>
          <w:b w:val="false"/>
          <w:bCs w:val="false"/>
          <w:i w:val="false"/>
          <w:iCs w:val="false"/>
          <w:sz w:val="22"/>
          <w:szCs w:val="22"/>
        </w:rPr>
        <w:t xml:space="preserve"> de Bunuel (c’est le moment émotion du cours, car je crois qu’il peut être bon d’utiliser parfois les sentiments pour appuyer nos arguments</w:t>
      </w:r>
      <w:r>
        <w:rPr>
          <w:rStyle w:val="Ancredenotedebasdepage"/>
          <w:rFonts w:cs="Calibri" w:cstheme="minorHAnsi"/>
          <w:b w:val="false"/>
          <w:bCs w:val="false"/>
          <w:i w:val="false"/>
          <w:iCs w:val="false"/>
          <w:sz w:val="22"/>
          <w:szCs w:val="22"/>
        </w:rPr>
        <w:footnoteReference w:id="2"/>
      </w:r>
      <w:r>
        <w:rPr>
          <w:rFonts w:cs="Calibri" w:cstheme="minorHAnsi"/>
          <w:b w:val="false"/>
          <w:bCs w:val="false"/>
          <w:i w:val="false"/>
          <w:iCs w:val="false"/>
          <w:sz w:val="22"/>
          <w:szCs w:val="22"/>
        </w:rPr>
        <w:t xml:space="preserve">). Les « oubliés » dont parle le titre du film sont des orphelins ultra-violents qui survivent à Mexico. Un jour, l’un d’eux est arrêté et conduit dans une maison de redressement. Le policier prévient le directeur : ce gamin est un dur, il faudra l’avoir à l’oeil en permanence, etc. Le directeur appelle alors le garcçon, lui tend un billet et lui demande d’aller lui acheter des cigarettes au coin de la rue et de rapporter la monnaie. Le policier félicite son collègue de tendre ainsi dès son arrivée un piège à ce gibier de potence puis, constatant que personne ne suit l’enfant, il prédit que ce dernier volera l’argent et s’enfuira. L’enfant lui aussi est persuadé qu’on va le suivre et est très surpris de constater que ce n’est pas le cas. Il achète les cigarettes et remonte vers la maison de redressement, mais en chemin il est agressé par une bande rivale et dépouillé. Il se relève, fait quelques pas, toujours vers la maison de redressement, puis s’enfuit, craignant sans doute qu’on ne le croie pas s’il raconte qu’il s’est fait voler. La caméra revient vers le policier qui regarde sa montre, triomphant, et déclare que le directeur avait été bien naïf. </w:t>
      </w:r>
    </w:p>
    <w:p>
      <w:pPr>
        <w:pStyle w:val="NormalWeb"/>
        <w:spacing w:lineRule="auto" w:line="276" w:before="280" w:after="280"/>
        <w:jc w:val="both"/>
        <w:rPr>
          <w:rFonts w:ascii="Times New Roman" w:hAnsi="Times New Roman"/>
          <w:sz w:val="22"/>
          <w:szCs w:val="22"/>
        </w:rPr>
      </w:pPr>
      <w:r>
        <w:rPr>
          <w:rFonts w:cs="Calibri" w:cstheme="minorHAnsi"/>
          <w:b w:val="false"/>
          <w:bCs w:val="false"/>
          <w:i w:val="false"/>
          <w:iCs w:val="false"/>
          <w:sz w:val="22"/>
          <w:szCs w:val="22"/>
        </w:rPr>
        <w:t xml:space="preserve">Et ce dernier lui répond : « Et alors ? Qu’est-ce qu’on a perdu ? 500 pesos ? Mais, s’il était revenu, combien on aurait gagné ? » </w:t>
      </w:r>
      <w:r>
        <w:rPr>
          <w:rFonts w:cs="Calibri" w:cstheme="minorHAnsi"/>
          <w:b w:val="false"/>
          <w:bCs w:val="false"/>
          <w:i/>
          <w:iCs/>
          <w:sz w:val="22"/>
          <w:szCs w:val="22"/>
        </w:rPr>
        <w:t xml:space="preserve">   </w:t>
      </w:r>
    </w:p>
    <w:p>
      <w:pPr>
        <w:pStyle w:val="NormalWeb"/>
        <w:spacing w:lineRule="auto" w:line="276" w:before="280" w:after="280"/>
        <w:jc w:val="both"/>
        <w:rPr>
          <w:rFonts w:ascii="Times New Roman" w:hAnsi="Times New Roman"/>
          <w:sz w:val="22"/>
          <w:szCs w:val="22"/>
        </w:rPr>
      </w:pPr>
      <w:r>
        <w:rPr/>
      </w:r>
    </w:p>
    <w:sectPr>
      <w:footerReference w:type="default" r:id="rId2"/>
      <w:footnotePr>
        <w:numFmt w:val="decimal"/>
      </w:footnotePr>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92898763"/>
    </w:sdtPr>
    <w:sdtContent>
      <w:p>
        <w:pPr>
          <w:pStyle w:val="Pieddepage"/>
          <w:jc w:val="center"/>
          <w:rPr/>
        </w:pPr>
        <w:r>
          <w:rPr/>
          <w:fldChar w:fldCharType="begin"/>
        </w:r>
        <w:r>
          <w:rPr/>
          <w:instrText> PAGE </w:instrText>
        </w:r>
        <w:r>
          <w:rPr/>
          <w:fldChar w:fldCharType="separate"/>
        </w:r>
        <w:r>
          <w:rPr/>
          <w:t>3</w:t>
        </w:r>
        <w:r>
          <w:rPr/>
          <w:fldChar w:fldCharType="end"/>
        </w:r>
      </w:p>
    </w:sdtContent>
  </w:sdt>
  <w:p>
    <w:pPr>
      <w:pStyle w:val="Pieddepag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edebasdepage"/>
        <w:spacing w:before="0" w:after="160"/>
        <w:jc w:val="both"/>
        <w:rPr/>
      </w:pPr>
      <w:r>
        <w:rPr>
          <w:rStyle w:val="Caractresdenotedebasdepage"/>
        </w:rPr>
        <w:footnoteRef/>
      </w:r>
      <w:r>
        <w:rPr/>
        <w:tab/>
        <w:t xml:space="preserve">Comme l’écrit Usbek dans la onzième des  </w:t>
      </w:r>
      <w:r>
        <w:rPr>
          <w:i/>
          <w:iCs/>
        </w:rPr>
        <w:t>Lettres persanes </w:t>
      </w:r>
      <w:r>
        <w:rPr>
          <w:i w:val="false"/>
          <w:iCs w:val="false"/>
        </w:rPr>
        <w:t xml:space="preserve">:  « Il y a de certaines vérités qu'il ne suffit pas de persuader, mais qu'il faut encore faire sentir: telles sont les vérités de morales. Peut-être que ce morceau d'histoire te touchera plus qu'une philosophie subtile. » (Remarquons qu’ici le verbe « persuader » signifie ce que nos repères du programme nomment plutôt convaincre). </w:t>
      </w:r>
    </w:p>
  </w:footnote>
</w:footnotes>
</file>

<file path=word/settings.xml><?xml version="1.0" encoding="utf-8"?>
<w:settings xmlns:w="http://schemas.openxmlformats.org/wordprocessingml/2006/main">
  <w:zoom w:percent="16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Titre1">
    <w:name w:val="Heading 1"/>
    <w:basedOn w:val="Normal"/>
    <w:next w:val="Normal"/>
    <w:link w:val="Titre1Car"/>
    <w:uiPriority w:val="9"/>
    <w:qFormat/>
    <w:rsid w:val="001537d0"/>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1537d0"/>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1537d0"/>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537d0"/>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1537d0"/>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Titre6Car"/>
    <w:uiPriority w:val="9"/>
    <w:semiHidden/>
    <w:unhideWhenUsed/>
    <w:qFormat/>
    <w:rsid w:val="001537d0"/>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1537d0"/>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1537d0"/>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1537d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1537d0"/>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link w:val="Titre2"/>
    <w:uiPriority w:val="9"/>
    <w:semiHidden/>
    <w:qFormat/>
    <w:rsid w:val="001537d0"/>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link w:val="Titre3"/>
    <w:uiPriority w:val="9"/>
    <w:semiHidden/>
    <w:qFormat/>
    <w:rsid w:val="001537d0"/>
    <w:rPr>
      <w:rFonts w:eastAsia="" w:cs="" w:cstheme="majorBidi" w:eastAsiaTheme="majorEastAsia"/>
      <w:color w:val="2F5496" w:themeColor="accent1" w:themeShade="bf"/>
      <w:sz w:val="28"/>
      <w:szCs w:val="28"/>
    </w:rPr>
  </w:style>
  <w:style w:type="character" w:styleId="Titre4Car" w:customStyle="1">
    <w:name w:val="Titre 4 Car"/>
    <w:basedOn w:val="DefaultParagraphFont"/>
    <w:link w:val="Titre4"/>
    <w:uiPriority w:val="9"/>
    <w:semiHidden/>
    <w:qFormat/>
    <w:rsid w:val="001537d0"/>
    <w:rPr>
      <w:rFonts w:eastAsia="" w:cs="" w:cstheme="majorBidi" w:eastAsiaTheme="majorEastAsia"/>
      <w:i/>
      <w:iCs/>
      <w:color w:val="2F5496" w:themeColor="accent1" w:themeShade="bf"/>
    </w:rPr>
  </w:style>
  <w:style w:type="character" w:styleId="Titre5Car" w:customStyle="1">
    <w:name w:val="Titre 5 Car"/>
    <w:basedOn w:val="DefaultParagraphFont"/>
    <w:link w:val="Titre5"/>
    <w:uiPriority w:val="9"/>
    <w:semiHidden/>
    <w:qFormat/>
    <w:rsid w:val="001537d0"/>
    <w:rPr>
      <w:rFonts w:eastAsia="" w:cs="" w:cstheme="majorBidi" w:eastAsiaTheme="majorEastAsia"/>
      <w:color w:val="2F5496" w:themeColor="accent1" w:themeShade="bf"/>
    </w:rPr>
  </w:style>
  <w:style w:type="character" w:styleId="Titre6Car" w:customStyle="1">
    <w:name w:val="Titre 6 Car"/>
    <w:basedOn w:val="DefaultParagraphFont"/>
    <w:link w:val="Titre6"/>
    <w:uiPriority w:val="9"/>
    <w:semiHidden/>
    <w:qFormat/>
    <w:rsid w:val="001537d0"/>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1537d0"/>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1537d0"/>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1537d0"/>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1537d0"/>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1537d0"/>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1537d0"/>
    <w:rPr>
      <w:i/>
      <w:iCs/>
      <w:color w:val="404040" w:themeColor="text1" w:themeTint="bf"/>
    </w:rPr>
  </w:style>
  <w:style w:type="character" w:styleId="IntenseEmphasis">
    <w:name w:val="Intense Emphasis"/>
    <w:basedOn w:val="DefaultParagraphFont"/>
    <w:uiPriority w:val="21"/>
    <w:qFormat/>
    <w:rsid w:val="001537d0"/>
    <w:rPr>
      <w:i/>
      <w:iCs/>
      <w:color w:val="2F5496" w:themeColor="accent1" w:themeShade="bf"/>
    </w:rPr>
  </w:style>
  <w:style w:type="character" w:styleId="CitationintenseCar" w:customStyle="1">
    <w:name w:val="Citation intense Car"/>
    <w:basedOn w:val="DefaultParagraphFont"/>
    <w:link w:val="Citationintense"/>
    <w:uiPriority w:val="30"/>
    <w:qFormat/>
    <w:rsid w:val="001537d0"/>
    <w:rPr>
      <w:i/>
      <w:iCs/>
      <w:color w:val="2F5496" w:themeColor="accent1" w:themeShade="bf"/>
    </w:rPr>
  </w:style>
  <w:style w:type="character" w:styleId="IntenseReference">
    <w:name w:val="Intense Reference"/>
    <w:basedOn w:val="DefaultParagraphFont"/>
    <w:uiPriority w:val="32"/>
    <w:qFormat/>
    <w:rsid w:val="001537d0"/>
    <w:rPr>
      <w:b/>
      <w:bCs/>
      <w:smallCaps/>
      <w:color w:val="2F5496" w:themeColor="accent1" w:themeShade="bf"/>
      <w:spacing w:val="5"/>
    </w:rPr>
  </w:style>
  <w:style w:type="character" w:styleId="LienInternet">
    <w:name w:val="Lien Internet"/>
    <w:basedOn w:val="DefaultParagraphFont"/>
    <w:uiPriority w:val="99"/>
    <w:unhideWhenUsed/>
    <w:rsid w:val="0034672a"/>
    <w:rPr>
      <w:color w:val="0563C1" w:themeColor="hyperlink"/>
      <w:u w:val="single"/>
    </w:rPr>
  </w:style>
  <w:style w:type="character" w:styleId="UnresolvedMention" w:customStyle="1">
    <w:name w:val="Unresolved Mention"/>
    <w:basedOn w:val="DefaultParagraphFont"/>
    <w:uiPriority w:val="99"/>
    <w:semiHidden/>
    <w:unhideWhenUsed/>
    <w:qFormat/>
    <w:rsid w:val="0034672a"/>
    <w:rPr>
      <w:color w:val="605E5C"/>
      <w:shd w:fill="E1DFDD" w:val="clear"/>
    </w:rPr>
  </w:style>
  <w:style w:type="character" w:styleId="Strong">
    <w:name w:val="Strong"/>
    <w:basedOn w:val="DefaultParagraphFont"/>
    <w:uiPriority w:val="22"/>
    <w:qFormat/>
    <w:rsid w:val="006243a4"/>
    <w:rPr>
      <w:b/>
      <w:bCs/>
    </w:rPr>
  </w:style>
  <w:style w:type="character" w:styleId="Accentuation">
    <w:name w:val="Accentuation"/>
    <w:basedOn w:val="DefaultParagraphFont"/>
    <w:uiPriority w:val="20"/>
    <w:qFormat/>
    <w:rsid w:val="006243a4"/>
    <w:rPr>
      <w:i/>
      <w:iCs/>
    </w:rPr>
  </w:style>
  <w:style w:type="character" w:styleId="EntteCar" w:customStyle="1">
    <w:name w:val="En-tête Car"/>
    <w:basedOn w:val="DefaultParagraphFont"/>
    <w:link w:val="En-tte"/>
    <w:uiPriority w:val="99"/>
    <w:qFormat/>
    <w:rsid w:val="007c41ba"/>
    <w:rPr/>
  </w:style>
  <w:style w:type="character" w:styleId="PieddepageCar" w:customStyle="1">
    <w:name w:val="Pied de page Car"/>
    <w:basedOn w:val="DefaultParagraphFont"/>
    <w:link w:val="Pieddepage"/>
    <w:uiPriority w:val="99"/>
    <w:qFormat/>
    <w:rsid w:val="007c41ba"/>
    <w:rPr/>
  </w:style>
  <w:style w:type="character" w:styleId="TextedebullesCar" w:customStyle="1">
    <w:name w:val="Texte de bulles Car"/>
    <w:basedOn w:val="DefaultParagraphFont"/>
    <w:link w:val="Textedebulles"/>
    <w:uiPriority w:val="99"/>
    <w:semiHidden/>
    <w:qFormat/>
    <w:rsid w:val="00075857"/>
    <w:rPr>
      <w:rFonts w:ascii="Segoe UI" w:hAnsi="Segoe UI" w:cs="Segoe UI"/>
      <w:sz w:val="18"/>
      <w:szCs w:val="18"/>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next w:val="Normal"/>
    <w:link w:val="TitreCar"/>
    <w:uiPriority w:val="10"/>
    <w:qFormat/>
    <w:rsid w:val="001537d0"/>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1537d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1537d0"/>
    <w:pPr>
      <w:spacing w:before="160" w:after="160"/>
      <w:jc w:val="center"/>
    </w:pPr>
    <w:rPr>
      <w:i/>
      <w:iCs/>
      <w:color w:val="404040" w:themeColor="text1" w:themeTint="bf"/>
    </w:rPr>
  </w:style>
  <w:style w:type="paragraph" w:styleId="ListParagraph">
    <w:name w:val="List Paragraph"/>
    <w:basedOn w:val="Normal"/>
    <w:uiPriority w:val="34"/>
    <w:qFormat/>
    <w:rsid w:val="001537d0"/>
    <w:pPr>
      <w:spacing w:before="0" w:after="160"/>
      <w:ind w:left="720" w:hanging="0"/>
      <w:contextualSpacing/>
    </w:pPr>
    <w:rPr/>
  </w:style>
  <w:style w:type="paragraph" w:styleId="IntenseQuote">
    <w:name w:val="Intense Quote"/>
    <w:basedOn w:val="Normal"/>
    <w:next w:val="Normal"/>
    <w:link w:val="CitationintenseCar"/>
    <w:uiPriority w:val="30"/>
    <w:qFormat/>
    <w:rsid w:val="001537d0"/>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rmalWeb">
    <w:name w:val="Normal (Web)"/>
    <w:basedOn w:val="Normal"/>
    <w:unhideWhenUsed/>
    <w:qFormat/>
    <w:rsid w:val="006243a4"/>
    <w:pPr>
      <w:spacing w:lineRule="auto" w:line="240" w:beforeAutospacing="1" w:afterAutospacing="1"/>
    </w:pPr>
    <w:rPr>
      <w:rFonts w:ascii="Times New Roman" w:hAnsi="Times New Roman" w:eastAsia="Times New Roman" w:cs="Times New Roman"/>
      <w:kern w:val="0"/>
      <w:sz w:val="24"/>
      <w:szCs w:val="24"/>
      <w:lang w:eastAsia="fr-FR"/>
      <w14:ligatures w14:val="none"/>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7c41ba"/>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7c41ba"/>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075857"/>
    <w:pPr>
      <w:spacing w:lineRule="auto" w:line="240" w:before="0" w:after="0"/>
    </w:pPr>
    <w:rPr>
      <w:rFonts w:ascii="Segoe UI" w:hAnsi="Segoe UI" w:cs="Segoe UI"/>
      <w:sz w:val="18"/>
      <w:szCs w:val="18"/>
    </w:rPr>
  </w:style>
  <w:style w:type="paragraph" w:styleId="Notedebasdepage">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Application>LibreOffice/7.0.4.2$Windows_X86_64 LibreOffice_project/dcf040e67528d9187c66b2379df5ea4407429775</Application>
  <AppVersion>15.0000</AppVersion>
  <Pages>3</Pages>
  <Words>1626</Words>
  <Characters>7710</Characters>
  <CharactersWithSpaces>9329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2025-10-07T15:18:00Z</dcterms:created>
  <dc:creator>Alexandre Casati</dc:creator>
  <dc:description/>
  <dc:language>en-GB</dc:language>
  <cp:lastModifiedBy/>
  <cp:lastPrinted>2025-10-07T15:55:00Z</cp:lastPrinted>
  <dcterms:modified xsi:type="dcterms:W3CDTF">2026-04-23T14:08:38Z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